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238F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1A83C6B9" wp14:editId="4C6B743C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3034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3231D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14:paraId="7B2BE22E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02C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DB5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77A17" w14:paraId="5491FC08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F3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83D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D11AEA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0DE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F6B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3F2DC9B4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509F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C072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4DCA077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D4A2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2750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060FEC1F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305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3227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977A17" w14:paraId="0B1B733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E98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B2F0" w14:textId="4D3B5588" w:rsidR="00977A17" w:rsidRDefault="00A52109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07. 03</w:t>
            </w:r>
            <w:r w:rsidR="006D573E">
              <w:rPr>
                <w:rFonts w:ascii="Times New Roman" w:hAnsi="Times New Roman"/>
              </w:rPr>
              <w:t>. 2022</w:t>
            </w:r>
            <w:r w:rsidR="00977A17">
              <w:rPr>
                <w:rFonts w:ascii="Times New Roman" w:hAnsi="Times New Roman"/>
              </w:rPr>
              <w:t>- Pondelok párny týždeň</w:t>
            </w:r>
          </w:p>
        </w:tc>
      </w:tr>
      <w:tr w:rsidR="00977A17" w14:paraId="699885A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9AAA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4BBD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14:paraId="13ACABDE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20A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037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77D77DA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2DFA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0DA" w14:textId="77777777" w:rsidR="00977A17" w:rsidRPr="000F32D4" w:rsidRDefault="00B336FF" w:rsidP="00C77603">
            <w:pPr>
              <w:pStyle w:val="TableParagraph"/>
              <w:rPr>
                <w:lang w:val="sk-SK"/>
              </w:rPr>
            </w:pPr>
            <w:hyperlink r:id="rId6" w:history="1">
              <w:r w:rsidR="009B7A13" w:rsidRPr="00B117DC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0FC3D12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14:paraId="3994EF42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772" w14:textId="77777777" w:rsidR="00977A17" w:rsidRPr="00E52FE8" w:rsidRDefault="00977A17" w:rsidP="00E52FE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2FE8">
              <w:rPr>
                <w:rFonts w:ascii="Times New Roman" w:hAnsi="Times New Roman"/>
                <w:b/>
              </w:rPr>
              <w:t>Manažérske zhrnutie:</w:t>
            </w:r>
          </w:p>
          <w:p w14:paraId="69EA0144" w14:textId="77777777" w:rsidR="001F6881" w:rsidRPr="005F4D96" w:rsidRDefault="00977A17" w:rsidP="00E52FE8">
            <w:pPr>
              <w:pStyle w:val="TableParagraph"/>
              <w:jc w:val="both"/>
              <w:rPr>
                <w:b/>
                <w:lang w:val="sk-SK"/>
              </w:rPr>
            </w:pPr>
            <w:r w:rsidRPr="005F4D96">
              <w:rPr>
                <w:b/>
                <w:i/>
                <w:lang w:val="sk-SK"/>
              </w:rPr>
              <w:t>Stručná anotácia:</w:t>
            </w:r>
            <w:r w:rsidRPr="005F4D96">
              <w:rPr>
                <w:b/>
                <w:lang w:val="sk-SK"/>
              </w:rPr>
              <w:t xml:space="preserve"> </w:t>
            </w:r>
          </w:p>
          <w:p w14:paraId="2E1B8CC6" w14:textId="723402EE" w:rsidR="003A4883" w:rsidRPr="005F4D96" w:rsidRDefault="005F4D96" w:rsidP="005F4D96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F4D96">
              <w:rPr>
                <w:rFonts w:ascii="Times New Roman" w:eastAsia="Times New Roman" w:hAnsi="Times New Roman"/>
                <w:color w:val="000000"/>
                <w:lang w:eastAsia="sk-SK"/>
              </w:rPr>
              <w:t>V školskom prostredí často hovoríme o inováciách. Niektoré slovenské školy už zmenili pozíciu učiteľa a žiaka. Plne využívajú a podporujú detské potreby objavovania, premýšľania a hľadania s pomocou aktivizujúcich učebných metód a s využitím aktivity žiakov. Inovujú. Začali prirodzenú evolúciu vzdelávania. Inovácia v škole by mohla prinášať niečo nové, hodnotné. Učitelia prinášajú do škôl nové pedagogické nápady, materiály, metodiky z absolvovaného štúdia, vzdelávacie stratégie a prístupy k hodnoteniu. Riaditeľ školy prináša nové informácie, formy kreatívnej práce, nové prvky do štruktúry.</w:t>
            </w:r>
            <w:r w:rsidR="001C127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Pr="005F4D96">
              <w:rPr>
                <w:rFonts w:ascii="Times New Roman" w:hAnsi="Times New Roman"/>
                <w:color w:val="000000"/>
                <w:shd w:val="clear" w:color="auto" w:fill="FFFFFF"/>
              </w:rPr>
              <w:t>Podporiť treba predovšetkým zmysluplné učenie, zdravú zvedavosť, otvorenú a partnerskú komunikáciu, umenie prezentovať, modelovať variabilné nástroje pre rozhodovanie, prirodzene učiť žiakov overovať zdroj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A4883" w:rsidRPr="001B6621">
              <w:rPr>
                <w:color w:val="FF0000"/>
              </w:rPr>
              <w:t xml:space="preserve"> </w:t>
            </w:r>
          </w:p>
          <w:p w14:paraId="51E2D562" w14:textId="1C85B7EC" w:rsidR="003A4883" w:rsidRPr="005F4D96" w:rsidRDefault="00977A17" w:rsidP="00E52FE8">
            <w:pPr>
              <w:pStyle w:val="TableParagraph"/>
              <w:jc w:val="both"/>
              <w:rPr>
                <w:lang w:val="sk-SK"/>
              </w:rPr>
            </w:pPr>
            <w:r w:rsidRPr="005F4D96">
              <w:rPr>
                <w:b/>
                <w:i/>
                <w:lang w:val="sk-SK"/>
              </w:rPr>
              <w:t>Kľúčové slová:</w:t>
            </w:r>
            <w:r w:rsidRPr="005F4D96">
              <w:rPr>
                <w:b/>
                <w:lang w:val="sk-SK"/>
              </w:rPr>
              <w:t xml:space="preserve"> </w:t>
            </w:r>
            <w:r w:rsidR="005F4D96" w:rsidRPr="005F4D96">
              <w:rPr>
                <w:lang w:val="sk-SK"/>
              </w:rPr>
              <w:t>informačné technológie, inovácia, kognitívne funkcie, kritické myslenie, kreativita, školská klíma, projektové vyučovanie.</w:t>
            </w:r>
          </w:p>
          <w:p w14:paraId="682048C7" w14:textId="152BBC05" w:rsidR="00576355" w:rsidRPr="00F042CB" w:rsidRDefault="00977A17" w:rsidP="003A4883">
            <w:pPr>
              <w:pStyle w:val="TableParagraph"/>
              <w:jc w:val="both"/>
              <w:rPr>
                <w:lang w:val="sk-SK"/>
              </w:rPr>
            </w:pPr>
            <w:r w:rsidRPr="00FE38A4">
              <w:rPr>
                <w:lang w:val="sk-SK"/>
              </w:rPr>
              <w:t xml:space="preserve"> </w:t>
            </w:r>
          </w:p>
        </w:tc>
      </w:tr>
      <w:tr w:rsidR="00977A17" w14:paraId="6D6D5F1D" w14:textId="77777777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F36" w14:textId="78D94954" w:rsidR="00977A17" w:rsidRPr="00E52FE8" w:rsidRDefault="00977A17" w:rsidP="00E52FE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52FE8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72AD2E62" w14:textId="77777777" w:rsidR="001B6621" w:rsidRDefault="00464D2B" w:rsidP="00464D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14523">
              <w:rPr>
                <w:rFonts w:ascii="Times New Roman" w:hAnsi="Times New Roman"/>
                <w:i/>
              </w:rPr>
              <w:t>Zámerom</w:t>
            </w:r>
            <w:r w:rsidRPr="00A14523">
              <w:rPr>
                <w:rFonts w:ascii="Times New Roman" w:hAnsi="Times New Roman"/>
              </w:rPr>
              <w:t xml:space="preserve"> </w:t>
            </w:r>
            <w:r w:rsidRPr="00A14523">
              <w:rPr>
                <w:rFonts w:ascii="Times New Roman" w:hAnsi="Times New Roman"/>
                <w:i/>
              </w:rPr>
              <w:t xml:space="preserve"> stretnutia</w:t>
            </w:r>
            <w:r w:rsidRPr="00A14523">
              <w:rPr>
                <w:rFonts w:ascii="Times New Roman" w:hAnsi="Times New Roman"/>
                <w:b/>
              </w:rPr>
              <w:t xml:space="preserve">, </w:t>
            </w:r>
            <w:r w:rsidRPr="00A14523">
              <w:rPr>
                <w:rFonts w:ascii="Times New Roman" w:hAnsi="Times New Roman"/>
              </w:rPr>
              <w:t>ktoré viedol</w:t>
            </w:r>
            <w:r w:rsidRPr="00A14523">
              <w:rPr>
                <w:rFonts w:ascii="Times New Roman" w:hAnsi="Times New Roman"/>
                <w:b/>
              </w:rPr>
              <w:t xml:space="preserve"> </w:t>
            </w:r>
            <w:r w:rsidRPr="00A14523">
              <w:rPr>
                <w:rFonts w:ascii="Times New Roman" w:hAnsi="Times New Roman"/>
              </w:rPr>
              <w:t xml:space="preserve"> koordinátor činnosti klubu </w:t>
            </w:r>
            <w:r w:rsidR="004D78A7">
              <w:rPr>
                <w:rFonts w:ascii="Times New Roman" w:hAnsi="Times New Roman"/>
              </w:rPr>
              <w:t>bolo</w:t>
            </w:r>
            <w:r w:rsidR="001F6881">
              <w:rPr>
                <w:rFonts w:ascii="Times New Roman" w:hAnsi="Times New Roman"/>
              </w:rPr>
              <w:t xml:space="preserve"> </w:t>
            </w:r>
            <w:r w:rsidR="003A4883">
              <w:rPr>
                <w:rFonts w:ascii="Times New Roman" w:hAnsi="Times New Roman"/>
              </w:rPr>
              <w:t> podeliť sa o</w:t>
            </w:r>
            <w:r w:rsidR="001B6621">
              <w:rPr>
                <w:rFonts w:ascii="Times New Roman" w:hAnsi="Times New Roman"/>
              </w:rPr>
              <w:t> skúsenosti pri využívaní  moderných postupov a metód vo vyučovaní.</w:t>
            </w:r>
          </w:p>
          <w:p w14:paraId="7D22812C" w14:textId="2CC73B20" w:rsidR="003A4883" w:rsidRDefault="001C1274" w:rsidP="00464D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rôznych</w:t>
            </w:r>
            <w:r w:rsidR="001B6621">
              <w:rPr>
                <w:rFonts w:ascii="Times New Roman" w:hAnsi="Times New Roman"/>
              </w:rPr>
              <w:t xml:space="preserve"> foriem a </w:t>
            </w:r>
            <w:r>
              <w:rPr>
                <w:rFonts w:ascii="Times New Roman" w:hAnsi="Times New Roman"/>
              </w:rPr>
              <w:t>metód</w:t>
            </w:r>
            <w:r w:rsidR="001B6621">
              <w:rPr>
                <w:rFonts w:ascii="Times New Roman" w:hAnsi="Times New Roman"/>
              </w:rPr>
              <w:t xml:space="preserve"> práce, ktoré </w:t>
            </w:r>
            <w:r w:rsidR="003A4883">
              <w:rPr>
                <w:rFonts w:ascii="Times New Roman" w:hAnsi="Times New Roman"/>
              </w:rPr>
              <w:t>poznatky z praxe,</w:t>
            </w:r>
            <w:r w:rsidR="004D78A7">
              <w:rPr>
                <w:rFonts w:ascii="Times New Roman" w:hAnsi="Times New Roman"/>
              </w:rPr>
              <w:t xml:space="preserve"> vyučovacie procesu so žiakmi , v ktorom </w:t>
            </w:r>
            <w:r>
              <w:rPr>
                <w:rFonts w:ascii="Times New Roman" w:hAnsi="Times New Roman"/>
              </w:rPr>
              <w:t>uplatňujú</w:t>
            </w:r>
            <w:r w:rsidR="004D78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normatívne</w:t>
            </w:r>
            <w:r w:rsidR="004D78A7">
              <w:rPr>
                <w:rFonts w:ascii="Times New Roman" w:hAnsi="Times New Roman"/>
              </w:rPr>
              <w:t xml:space="preserve"> vzdelávanie </w:t>
            </w:r>
          </w:p>
          <w:p w14:paraId="27C6985C" w14:textId="77777777" w:rsidR="00464D2B" w:rsidRPr="004D78A7" w:rsidRDefault="00464D2B" w:rsidP="00464D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D78A7">
              <w:rPr>
                <w:rFonts w:ascii="Times New Roman" w:hAnsi="Times New Roman"/>
                <w:b/>
                <w:i/>
              </w:rPr>
              <w:t>Téma stretnutia</w:t>
            </w:r>
          </w:p>
          <w:p w14:paraId="119AA9D1" w14:textId="77777777" w:rsidR="00FC6D9D" w:rsidRDefault="00464D2B" w:rsidP="00464D2B">
            <w:pPr>
              <w:pStyle w:val="TableParagraph"/>
              <w:rPr>
                <w:lang w:val="sk-SK"/>
              </w:rPr>
            </w:pPr>
            <w:r>
              <w:rPr>
                <w:lang w:val="sk-SK"/>
              </w:rPr>
              <w:t xml:space="preserve">            </w:t>
            </w:r>
            <w:r w:rsidR="00FC6D9D" w:rsidRPr="001B6621">
              <w:rPr>
                <w:lang w:val="sk-SK"/>
              </w:rPr>
              <w:t>Analýza potrieb a výmena skúsenosti pri využívaní moderných vyučovacích postupov a metód podporujúcich inovácie vo vzdelávaní.</w:t>
            </w:r>
          </w:p>
          <w:p w14:paraId="27833D61" w14:textId="75716F45" w:rsidR="00464D2B" w:rsidRDefault="00464D2B" w:rsidP="00464D2B">
            <w:pPr>
              <w:pStyle w:val="TableParagraph"/>
              <w:rPr>
                <w:b/>
                <w:i/>
                <w:lang w:val="sk-SK"/>
              </w:rPr>
            </w:pPr>
            <w:r w:rsidRPr="004D78A7">
              <w:rPr>
                <w:b/>
                <w:i/>
                <w:lang w:val="sk-SK"/>
              </w:rPr>
              <w:t xml:space="preserve">Definovanie problému </w:t>
            </w:r>
          </w:p>
          <w:p w14:paraId="188DBA20" w14:textId="2D65EBC7" w:rsidR="001B6621" w:rsidRDefault="001B6621" w:rsidP="001B6621">
            <w:pPr>
              <w:pStyle w:val="TableParagraph"/>
              <w:jc w:val="both"/>
              <w:rPr>
                <w:lang w:val="sk-SK"/>
              </w:rPr>
            </w:pPr>
            <w:r w:rsidRPr="001B6621">
              <w:rPr>
                <w:lang w:val="sk-SK"/>
              </w:rPr>
              <w:t>Inovatívne metódy a formy vyučovania Súčasné obdobie, v ktorom žijeme je ovplyvnené prudkým rastom poznatkov. Prenikanie vedy a techniky mení postavenie človeka, kde hlavnú úlohu zohráva rozhodovanie sa na základe získaných informácií. Zaužívané metódy a formy vyučovania musí zákonite meniť aj škola, ktorá pripravuje jedinca na to, aby bol schopný adaptovať sa na meniace sa požiadavky. Vplyv vedecko–technického pokroku na výchovu a vzdelávanie je spoločenský problém, kde treba riešiť hlavne rozpor medzi množstvom nových poznatkov v jednotlivých vedných odboroch a edukačnými možnosťami</w:t>
            </w:r>
            <w:r>
              <w:rPr>
                <w:lang w:val="sk-SK"/>
              </w:rPr>
              <w:t xml:space="preserve"> školy</w:t>
            </w:r>
            <w:r w:rsidRPr="001B6621">
              <w:rPr>
                <w:lang w:val="sk-SK"/>
              </w:rPr>
              <w:t xml:space="preserve">. Učitelia preto musia disponovať širokým spektrom nových alebo inovovaných prístupov k vyučovaniu a učeniu, a to hlavne takých, ktoré využívajú nové komunikačné a informačné technológie. Pre školu z toho vyplýva potreba inovácie tradičného odovzdávania </w:t>
            </w:r>
            <w:r w:rsidRPr="001B6621">
              <w:rPr>
                <w:lang w:val="sk-SK"/>
              </w:rPr>
              <w:lastRenderedPageBreak/>
              <w:t xml:space="preserve">vedomostí a osvojenie si metód spracovania a aplikácie informácií.. </w:t>
            </w:r>
          </w:p>
          <w:p w14:paraId="38F30336" w14:textId="77777777" w:rsidR="001B6621" w:rsidRDefault="001B6621" w:rsidP="001B6621">
            <w:pPr>
              <w:pStyle w:val="TableParagraph"/>
              <w:jc w:val="both"/>
              <w:rPr>
                <w:lang w:val="sk-SK"/>
              </w:rPr>
            </w:pPr>
          </w:p>
          <w:p w14:paraId="3A12F45B" w14:textId="77777777" w:rsidR="001B6621" w:rsidRDefault="001B6621" w:rsidP="00464D2B">
            <w:pPr>
              <w:pStyle w:val="TableParagraph"/>
              <w:rPr>
                <w:lang w:val="sk-SK"/>
              </w:rPr>
            </w:pPr>
            <w:r>
              <w:rPr>
                <w:lang w:val="sk-SK"/>
              </w:rPr>
              <w:t xml:space="preserve">Z </w:t>
            </w:r>
            <w:r w:rsidRPr="001B6621">
              <w:rPr>
                <w:lang w:val="sk-SK"/>
              </w:rPr>
              <w:t xml:space="preserve">inovatívnych vyučovacích metód sú známe napr.: </w:t>
            </w:r>
          </w:p>
          <w:p w14:paraId="5BBE1709" w14:textId="04351058" w:rsidR="001B6621" w:rsidRDefault="001B6621" w:rsidP="00464D2B">
            <w:pPr>
              <w:pStyle w:val="TableParagraph"/>
              <w:rPr>
                <w:lang w:val="sk-SK"/>
              </w:rPr>
            </w:pPr>
            <w:r>
              <w:sym w:font="Symbol" w:char="F0B7"/>
            </w:r>
            <w:r w:rsidRPr="001B6621">
              <w:rPr>
                <w:lang w:val="sk-SK"/>
              </w:rPr>
              <w:t xml:space="preserve"> kritické myslenie </w:t>
            </w:r>
          </w:p>
          <w:p w14:paraId="613C976C" w14:textId="77777777" w:rsidR="001B6621" w:rsidRDefault="001B6621" w:rsidP="00464D2B">
            <w:pPr>
              <w:pStyle w:val="TableParagraph"/>
              <w:rPr>
                <w:lang w:val="sk-SK"/>
              </w:rPr>
            </w:pPr>
            <w:r>
              <w:sym w:font="Symbol" w:char="F0B7"/>
            </w:r>
            <w:r w:rsidRPr="001B6621">
              <w:rPr>
                <w:lang w:val="sk-SK"/>
              </w:rPr>
              <w:t xml:space="preserve"> načúvacie tímy </w:t>
            </w:r>
          </w:p>
          <w:p w14:paraId="05522CCA" w14:textId="77777777" w:rsidR="001B6621" w:rsidRDefault="001B6621" w:rsidP="00464D2B">
            <w:pPr>
              <w:pStyle w:val="TableParagraph"/>
              <w:rPr>
                <w:lang w:val="sk-SK"/>
              </w:rPr>
            </w:pPr>
            <w:r>
              <w:sym w:font="Symbol" w:char="F0B7"/>
            </w:r>
            <w:r w:rsidRPr="001B6621">
              <w:rPr>
                <w:lang w:val="sk-SK"/>
              </w:rPr>
              <w:t xml:space="preserve"> poradenie na nástenke</w:t>
            </w:r>
          </w:p>
          <w:p w14:paraId="047E05E9" w14:textId="77777777" w:rsidR="001B6621" w:rsidRDefault="001B6621" w:rsidP="00464D2B">
            <w:pPr>
              <w:pStyle w:val="TableParagraph"/>
              <w:rPr>
                <w:lang w:val="sk-SK"/>
              </w:rPr>
            </w:pPr>
            <w:r w:rsidRPr="001B6621">
              <w:rPr>
                <w:lang w:val="sk-SK"/>
              </w:rPr>
              <w:t xml:space="preserve"> </w:t>
            </w:r>
            <w:r>
              <w:sym w:font="Symbol" w:char="F0B7"/>
            </w:r>
            <w:r w:rsidRPr="001B6621">
              <w:rPr>
                <w:lang w:val="sk-SK"/>
              </w:rPr>
              <w:t xml:space="preserve"> pravda alebo klamstvo </w:t>
            </w:r>
          </w:p>
          <w:p w14:paraId="5982FDC7" w14:textId="77777777" w:rsidR="001B6621" w:rsidRDefault="001B6621" w:rsidP="00464D2B">
            <w:pPr>
              <w:pStyle w:val="TableParagraph"/>
              <w:rPr>
                <w:lang w:val="sk-SK"/>
              </w:rPr>
            </w:pPr>
            <w:r>
              <w:sym w:font="Symbol" w:char="F0B7"/>
            </w:r>
            <w:r w:rsidRPr="001B6621">
              <w:rPr>
                <w:lang w:val="sk-SK"/>
              </w:rPr>
              <w:t xml:space="preserve"> reťazová reakcia </w:t>
            </w:r>
          </w:p>
          <w:p w14:paraId="0E1B1245" w14:textId="77777777" w:rsidR="001B6621" w:rsidRDefault="001B6621" w:rsidP="00464D2B">
            <w:pPr>
              <w:pStyle w:val="TableParagraph"/>
              <w:rPr>
                <w:lang w:val="sk-SK"/>
              </w:rPr>
            </w:pPr>
            <w:r>
              <w:sym w:font="Symbol" w:char="F0B7"/>
            </w:r>
            <w:r w:rsidRPr="001B6621">
              <w:rPr>
                <w:lang w:val="sk-SK"/>
              </w:rPr>
              <w:t xml:space="preserve"> rozprávka </w:t>
            </w:r>
          </w:p>
          <w:p w14:paraId="5B8D29E8" w14:textId="77777777" w:rsidR="001B6621" w:rsidRDefault="001B6621" w:rsidP="00464D2B">
            <w:pPr>
              <w:pStyle w:val="TableParagraph"/>
              <w:rPr>
                <w:lang w:val="sk-SK"/>
              </w:rPr>
            </w:pPr>
            <w:r>
              <w:sym w:font="Symbol" w:char="F0B7"/>
            </w:r>
            <w:r w:rsidRPr="001B6621">
              <w:rPr>
                <w:lang w:val="sk-SK"/>
              </w:rPr>
              <w:t xml:space="preserve"> práca s materiálom (textil, drevo, sklo, hlina...) </w:t>
            </w:r>
          </w:p>
          <w:p w14:paraId="415E5AB9" w14:textId="77777777" w:rsidR="001B6621" w:rsidRPr="005F4D96" w:rsidRDefault="001B6621" w:rsidP="00464D2B">
            <w:pPr>
              <w:pStyle w:val="TableParagraph"/>
              <w:rPr>
                <w:lang w:val="sk-SK"/>
              </w:rPr>
            </w:pPr>
            <w:r>
              <w:sym w:font="Symbol" w:char="F0B7"/>
            </w:r>
            <w:r w:rsidRPr="001B6621">
              <w:rPr>
                <w:lang w:val="sk-SK"/>
              </w:rPr>
              <w:t xml:space="preserve"> </w:t>
            </w:r>
            <w:r w:rsidRPr="005F4D96">
              <w:rPr>
                <w:lang w:val="sk-SK"/>
              </w:rPr>
              <w:t>pexeso atď.</w:t>
            </w:r>
          </w:p>
          <w:p w14:paraId="6545C72B" w14:textId="0AF569C9" w:rsidR="001B6621" w:rsidRPr="005F4D96" w:rsidRDefault="001B6621" w:rsidP="001B6621">
            <w:pPr>
              <w:pStyle w:val="TableParagraph"/>
              <w:jc w:val="both"/>
              <w:rPr>
                <w:lang w:val="sk-SK"/>
              </w:rPr>
            </w:pPr>
            <w:r w:rsidRPr="005F4D96">
              <w:rPr>
                <w:lang w:val="sk-SK"/>
              </w:rPr>
              <w:t xml:space="preserve"> </w:t>
            </w:r>
            <w:r w:rsidRPr="005F4D96">
              <w:rPr>
                <w:b/>
                <w:lang w:val="sk-SK"/>
              </w:rPr>
              <w:t>Projektové vyučovanie</w:t>
            </w:r>
            <w:r w:rsidRPr="005F4D96">
              <w:rPr>
                <w:lang w:val="sk-SK"/>
              </w:rPr>
              <w:t xml:space="preserve"> je ďalšou inovatívnou metódou  Cieľom projektového vyučovania je aktívne zapojiť </w:t>
            </w:r>
            <w:r w:rsidR="001C1274" w:rsidRPr="005F4D96">
              <w:rPr>
                <w:lang w:val="sk-SK"/>
              </w:rPr>
              <w:t>žiakov</w:t>
            </w:r>
            <w:r w:rsidRPr="005F4D96">
              <w:rPr>
                <w:lang w:val="sk-SK"/>
              </w:rPr>
              <w:t xml:space="preserve"> do poznávacieho procesu. Proces poznávania je charakteristický svojou otvorenosťou. Učiteľ vytvára problémové scenáre a otázky, ktoré vedú k tomu, aby </w:t>
            </w:r>
            <w:r w:rsidR="001C1274" w:rsidRPr="005F4D96">
              <w:rPr>
                <w:lang w:val="sk-SK"/>
              </w:rPr>
              <w:t>žiaci</w:t>
            </w:r>
            <w:r w:rsidRPr="005F4D96">
              <w:rPr>
                <w:lang w:val="sk-SK"/>
              </w:rPr>
              <w:t xml:space="preserve"> rozmýšľali o tom, čo sa učia. Je to efektívny spôsob výučby pri ktorom sa </w:t>
            </w:r>
            <w:r w:rsidR="001C1274" w:rsidRPr="005F4D96">
              <w:rPr>
                <w:lang w:val="sk-SK"/>
              </w:rPr>
              <w:t>využívajú</w:t>
            </w:r>
            <w:r w:rsidRPr="005F4D96">
              <w:rPr>
                <w:lang w:val="sk-SK"/>
              </w:rPr>
              <w:t xml:space="preserve"> nové progresívne metódy práce. Zdrojom nadobúdania poznatkov, vedomosti a zručností </w:t>
            </w:r>
            <w:r w:rsidR="001C1274" w:rsidRPr="005F4D96">
              <w:rPr>
                <w:lang w:val="sk-SK"/>
              </w:rPr>
              <w:t>žiakov</w:t>
            </w:r>
            <w:r w:rsidRPr="005F4D96">
              <w:rPr>
                <w:lang w:val="sk-SK"/>
              </w:rPr>
              <w:t xml:space="preserve"> pri projektovej metóde je riešenie praktických pracovných úloh.  Samotná realizácia vyučovania nie je pevne stanovená a preto neobmedzuje učiteľa v jeho tvorivosti a spôsoboch realizácie vyučovania. Do procesov poznávania zapájať čo najviac zmyslov, praktických činností, treba dbať na to, aby žiaci získavali čo najviac praktických skúseností.. Významnú úlohu pre získanie si </w:t>
            </w:r>
            <w:r w:rsidR="001C1274" w:rsidRPr="005F4D96">
              <w:rPr>
                <w:lang w:val="sk-SK"/>
              </w:rPr>
              <w:t>žiakov</w:t>
            </w:r>
            <w:r w:rsidRPr="005F4D96">
              <w:rPr>
                <w:lang w:val="sk-SK"/>
              </w:rPr>
              <w:t xml:space="preserve"> na tému zohráva vhodná motivácia. Je nutné dopredu si premyslieť organizáciu, materiálne zabezpečenie, stanoviť si jasné pravidlá p</w:t>
            </w:r>
            <w:r w:rsidR="001C1274">
              <w:rPr>
                <w:lang w:val="sk-SK"/>
              </w:rPr>
              <w:t xml:space="preserve">re mimoriadny režim, </w:t>
            </w:r>
          </w:p>
          <w:p w14:paraId="55EB34C6" w14:textId="77C76EBE" w:rsidR="00674173" w:rsidRPr="00674173" w:rsidRDefault="00674173" w:rsidP="001B6621">
            <w:pPr>
              <w:jc w:val="both"/>
              <w:rPr>
                <w:rFonts w:ascii="Times New Roman" w:hAnsi="Times New Roman"/>
              </w:rPr>
            </w:pPr>
          </w:p>
          <w:p w14:paraId="70D66F01" w14:textId="3BD262A8" w:rsidR="00A97A1D" w:rsidRPr="00A97A1D" w:rsidRDefault="00A97A1D" w:rsidP="00990483">
            <w:pPr>
              <w:tabs>
                <w:tab w:val="left" w:pos="1114"/>
              </w:tabs>
              <w:spacing w:after="0" w:line="240" w:lineRule="auto"/>
              <w:jc w:val="both"/>
            </w:pPr>
          </w:p>
        </w:tc>
      </w:tr>
      <w:tr w:rsidR="00977A17" w14:paraId="4F21FF82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F27" w14:textId="7AC4B7C3" w:rsidR="00A97A1D" w:rsidRPr="00B336FF" w:rsidRDefault="001F6881" w:rsidP="001C1274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336FF">
              <w:rPr>
                <w:rFonts w:ascii="Times New Roman" w:hAnsi="Times New Roman"/>
                <w:b/>
              </w:rPr>
              <w:lastRenderedPageBreak/>
              <w:t>Závery a odporúčania:</w:t>
            </w:r>
            <w:bookmarkStart w:id="0" w:name="_GoBack"/>
            <w:bookmarkEnd w:id="0"/>
          </w:p>
          <w:p w14:paraId="49032311" w14:textId="216D7AC3" w:rsidR="001C1274" w:rsidRPr="001C1274" w:rsidRDefault="001C1274" w:rsidP="001C1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C1274">
              <w:rPr>
                <w:rFonts w:ascii="Times New Roman" w:hAnsi="Times New Roman"/>
              </w:rPr>
              <w:t>1.</w:t>
            </w:r>
            <w:r w:rsidR="001F6881" w:rsidRPr="001C1274">
              <w:rPr>
                <w:rFonts w:ascii="Times New Roman" w:hAnsi="Times New Roman"/>
              </w:rPr>
              <w:t xml:space="preserve"> </w:t>
            </w:r>
            <w:r w:rsidRPr="001C1274">
              <w:rPr>
                <w:rFonts w:ascii="Times New Roman" w:hAnsi="Times New Roman"/>
                <w:color w:val="000000"/>
                <w:shd w:val="clear" w:color="auto" w:fill="FFFFFF"/>
              </w:rPr>
              <w:t>R</w:t>
            </w:r>
            <w:r w:rsidRPr="001C1274">
              <w:rPr>
                <w:rFonts w:ascii="Times New Roman" w:hAnsi="Times New Roman"/>
                <w:color w:val="000000"/>
                <w:shd w:val="clear" w:color="auto" w:fill="FFFFFF"/>
              </w:rPr>
              <w:t>ozv</w:t>
            </w:r>
            <w:r w:rsidRPr="001C1274">
              <w:rPr>
                <w:rFonts w:ascii="Times New Roman" w:hAnsi="Times New Roman"/>
                <w:color w:val="000000"/>
                <w:shd w:val="clear" w:color="auto" w:fill="FFFFFF"/>
              </w:rPr>
              <w:t>íjať kritické myslenie u žiakov</w:t>
            </w:r>
          </w:p>
          <w:p w14:paraId="339C651B" w14:textId="4DA4F8A7" w:rsidR="001C1274" w:rsidRPr="001C1274" w:rsidRDefault="001C1274" w:rsidP="001C12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C1274">
              <w:rPr>
                <w:rFonts w:ascii="Times New Roman" w:hAnsi="Times New Roman"/>
                <w:color w:val="000000"/>
                <w:shd w:val="clear" w:color="auto" w:fill="FFFFFF"/>
              </w:rPr>
              <w:t>2. D</w:t>
            </w:r>
            <w:r w:rsidRPr="001C1274">
              <w:rPr>
                <w:rFonts w:ascii="Times New Roman" w:eastAsia="Times New Roman" w:hAnsi="Times New Roman"/>
                <w:color w:val="000000"/>
                <w:lang w:eastAsia="sk-SK"/>
              </w:rPr>
              <w:t>enne učiť žiakov presvedčivo komunikovať, efektívne hodnotiť a posudzovať informácie, analyzovať, odhaľovať argumentačné a logické chyby.</w:t>
            </w:r>
          </w:p>
          <w:p w14:paraId="4CE40339" w14:textId="2BE66D0A" w:rsidR="001C1274" w:rsidRPr="001C1274" w:rsidRDefault="001C1274" w:rsidP="001C12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C1274">
              <w:rPr>
                <w:rFonts w:ascii="Times New Roman" w:eastAsia="Times New Roman" w:hAnsi="Times New Roman"/>
                <w:color w:val="000000"/>
                <w:lang w:eastAsia="sk-SK"/>
              </w:rPr>
              <w:t>3. Zlepšiť spoluprácu medzi učiteľmi a rodičmi organizovaním rôznych stretnutí a prednášok</w:t>
            </w:r>
          </w:p>
          <w:p w14:paraId="03154614" w14:textId="242373F8" w:rsidR="001C1274" w:rsidRPr="001C1274" w:rsidRDefault="001C1274" w:rsidP="001C12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C127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4. Pravidelne vymieňať skúsenosti medzi učiteľmi, ktoré sa týkajú výchovno- </w:t>
            </w:r>
            <w:proofErr w:type="spellStart"/>
            <w:r w:rsidRPr="001C1274">
              <w:rPr>
                <w:rFonts w:ascii="Times New Roman" w:eastAsia="Times New Roman" w:hAnsi="Times New Roman"/>
                <w:color w:val="000000"/>
                <w:lang w:eastAsia="sk-SK"/>
              </w:rPr>
              <w:t>vzdel</w:t>
            </w:r>
            <w:proofErr w:type="spellEnd"/>
            <w:r w:rsidRPr="001C1274">
              <w:rPr>
                <w:rFonts w:ascii="Times New Roman" w:eastAsia="Times New Roman" w:hAnsi="Times New Roman"/>
                <w:color w:val="000000"/>
                <w:lang w:eastAsia="sk-SK"/>
              </w:rPr>
              <w:t>. procesu.</w:t>
            </w:r>
          </w:p>
          <w:p w14:paraId="02F9FC31" w14:textId="634B3AE2" w:rsidR="001C1274" w:rsidRPr="001C1274" w:rsidRDefault="001C1274" w:rsidP="001C1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9575C05" w14:textId="77777777" w:rsidR="001C1274" w:rsidRDefault="001C1274" w:rsidP="001C12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950BEEB" w14:textId="77777777" w:rsidR="004D78A7" w:rsidRPr="001B6621" w:rsidRDefault="004D78A7" w:rsidP="001F688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  <w:p w14:paraId="0CA5C923" w14:textId="0C98B586" w:rsidR="00A97A1D" w:rsidRPr="001F6881" w:rsidRDefault="001F6881" w:rsidP="001F68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F6881">
              <w:rPr>
                <w:rFonts w:ascii="Arial" w:hAnsi="Arial" w:cs="Arial"/>
                <w:color w:val="212529"/>
                <w:shd w:val="clear" w:color="auto" w:fill="FFFFFF"/>
              </w:rPr>
              <w:br/>
              <w:t> </w:t>
            </w:r>
          </w:p>
        </w:tc>
      </w:tr>
    </w:tbl>
    <w:p w14:paraId="6653F61E" w14:textId="77777777" w:rsidR="00977A17" w:rsidRDefault="00977A17" w:rsidP="00977A1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14:paraId="5BE136A9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936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E10" w14:textId="50F028AF" w:rsidR="00977A17" w:rsidRDefault="00046D6D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977A17" w14:paraId="504D8DE4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CBFB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D2D" w14:textId="3DEEC12A" w:rsidR="00977A17" w:rsidRDefault="00A52109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07. 03</w:t>
            </w:r>
            <w:r w:rsidR="00046D6D">
              <w:rPr>
                <w:rFonts w:ascii="Times New Roman" w:hAnsi="Times New Roman"/>
                <w:color w:val="000000" w:themeColor="text1"/>
              </w:rPr>
              <w:t>. 2022</w:t>
            </w:r>
          </w:p>
        </w:tc>
      </w:tr>
      <w:tr w:rsidR="00977A17" w14:paraId="5A90C89D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35CD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85F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0FBC2F4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22A5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E90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2014349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D78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84A" w14:textId="0B753237" w:rsidR="00977A17" w:rsidRDefault="00A52109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08.03.2022</w:t>
            </w:r>
          </w:p>
        </w:tc>
      </w:tr>
      <w:tr w:rsidR="00977A17" w14:paraId="79F8A40F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9FE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B24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52BAC770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6281F46B" w14:textId="77777777" w:rsidR="00977A17" w:rsidRDefault="00977A17" w:rsidP="00977A1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E8A99D1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63BC4D0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0DFA29E5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125F0DC" w14:textId="77777777" w:rsidR="00977A17" w:rsidRDefault="00977A17" w:rsidP="00977A17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5156F125" wp14:editId="0F6DFFFF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0A6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14:paraId="307CA3BA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8A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76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14:paraId="1388F60E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35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8C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FC6D390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D9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A2D0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30639093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88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A505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1603C4D6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6A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DFE3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42488513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02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DAA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7325F12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11A181C5" w14:textId="77777777" w:rsidR="00977A17" w:rsidRDefault="00977A17" w:rsidP="00977A17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7BFC2E5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1489CBC5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055AFF3D" w14:textId="5314F9E1" w:rsidR="00977A17" w:rsidRDefault="00A52109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07. 03</w:t>
      </w:r>
      <w:r w:rsidR="00046D6D">
        <w:rPr>
          <w:rFonts w:ascii="Times New Roman" w:hAnsi="Times New Roman"/>
        </w:rPr>
        <w:t>. 2022</w:t>
      </w:r>
    </w:p>
    <w:p w14:paraId="0EFE834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54FE2203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346BBF4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2496001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14:paraId="64F5A7AF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C23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02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3E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37E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0C450DE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8F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C6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D6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AB7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49A13B02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25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3B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F2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FC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757CECF4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5E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86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59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F50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1367D552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C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33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43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AC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42DDBE24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36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3E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96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C2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3097BA1A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77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8A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8A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31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74DA82F4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97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85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AF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98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DEB556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</w:p>
    <w:p w14:paraId="63DF9741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13BA91E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14:paraId="01E948FF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77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80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AD1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A24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961E839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6A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7FE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C6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78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0C9DE41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17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BAB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AF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C6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AAD1EB3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E5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B4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7A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15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7F962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4FB09AA1" w14:textId="77777777" w:rsidR="00977A17" w:rsidRDefault="00977A17" w:rsidP="00977A17"/>
    <w:p w14:paraId="4528F65E" w14:textId="77777777" w:rsidR="00977A17" w:rsidRDefault="00977A17" w:rsidP="00977A17"/>
    <w:p w14:paraId="4F8052DB" w14:textId="77777777" w:rsidR="00977A17" w:rsidRDefault="00977A17" w:rsidP="00977A17"/>
    <w:p w14:paraId="08F78C2E" w14:textId="77777777" w:rsidR="00977A17" w:rsidRDefault="00977A17" w:rsidP="00977A17"/>
    <w:p w14:paraId="1BC9746A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FC5AA2"/>
    <w:multiLevelType w:val="multilevel"/>
    <w:tmpl w:val="9774C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046D6D"/>
    <w:rsid w:val="000D74DC"/>
    <w:rsid w:val="00123A5A"/>
    <w:rsid w:val="00130568"/>
    <w:rsid w:val="00141770"/>
    <w:rsid w:val="001B6621"/>
    <w:rsid w:val="001C1274"/>
    <w:rsid w:val="001F6881"/>
    <w:rsid w:val="00203FFD"/>
    <w:rsid w:val="00261B52"/>
    <w:rsid w:val="003A160C"/>
    <w:rsid w:val="003A4883"/>
    <w:rsid w:val="00420AC0"/>
    <w:rsid w:val="00464D2B"/>
    <w:rsid w:val="004D6C81"/>
    <w:rsid w:val="004D78A7"/>
    <w:rsid w:val="005719B4"/>
    <w:rsid w:val="00573712"/>
    <w:rsid w:val="00576355"/>
    <w:rsid w:val="005C0C74"/>
    <w:rsid w:val="005F4D96"/>
    <w:rsid w:val="00674173"/>
    <w:rsid w:val="006D573E"/>
    <w:rsid w:val="007F555F"/>
    <w:rsid w:val="00816075"/>
    <w:rsid w:val="008F1200"/>
    <w:rsid w:val="008F6680"/>
    <w:rsid w:val="009774B5"/>
    <w:rsid w:val="00977A17"/>
    <w:rsid w:val="00990483"/>
    <w:rsid w:val="009B7A13"/>
    <w:rsid w:val="009E02D4"/>
    <w:rsid w:val="00A52109"/>
    <w:rsid w:val="00A57988"/>
    <w:rsid w:val="00A97A1D"/>
    <w:rsid w:val="00AE26C2"/>
    <w:rsid w:val="00B336FF"/>
    <w:rsid w:val="00B61D7B"/>
    <w:rsid w:val="00B7366C"/>
    <w:rsid w:val="00BD31F1"/>
    <w:rsid w:val="00D33F62"/>
    <w:rsid w:val="00D57186"/>
    <w:rsid w:val="00E33D10"/>
    <w:rsid w:val="00E52FE8"/>
    <w:rsid w:val="00EC08D2"/>
    <w:rsid w:val="00ED6538"/>
    <w:rsid w:val="00F22F76"/>
    <w:rsid w:val="00F86423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A166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4173"/>
    <w:rPr>
      <w:b/>
      <w:bCs/>
    </w:rPr>
  </w:style>
  <w:style w:type="character" w:styleId="Zvraznenie">
    <w:name w:val="Emphasis"/>
    <w:basedOn w:val="Predvolenpsmoodseku"/>
    <w:uiPriority w:val="20"/>
    <w:qFormat/>
    <w:rsid w:val="005F4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student</cp:lastModifiedBy>
  <cp:revision>17</cp:revision>
  <dcterms:created xsi:type="dcterms:W3CDTF">2022-03-03T09:21:00Z</dcterms:created>
  <dcterms:modified xsi:type="dcterms:W3CDTF">2022-04-04T04:46:00Z</dcterms:modified>
</cp:coreProperties>
</file>